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352C" w14:textId="77777777" w:rsidR="001E0007" w:rsidRPr="002F327B" w:rsidRDefault="001E0007" w:rsidP="001E0007">
      <w:pPr>
        <w:outlineLvl w:val="0"/>
        <w:rPr>
          <w:rFonts w:cstheme="minorHAnsi"/>
          <w:b/>
          <w:sz w:val="24"/>
          <w:szCs w:val="24"/>
        </w:rPr>
      </w:pPr>
      <w:r w:rsidRPr="002F327B">
        <w:rPr>
          <w:rFonts w:cstheme="minorHAnsi"/>
          <w:b/>
          <w:sz w:val="24"/>
          <w:szCs w:val="24"/>
        </w:rPr>
        <w:t>XVI. gimnazija</w:t>
      </w:r>
    </w:p>
    <w:p w14:paraId="5971B286" w14:textId="77777777" w:rsidR="001E0007" w:rsidRPr="002F327B" w:rsidRDefault="001E0007" w:rsidP="001E0007">
      <w:pPr>
        <w:outlineLvl w:val="0"/>
        <w:rPr>
          <w:rFonts w:cstheme="minorHAnsi"/>
          <w:b/>
          <w:sz w:val="24"/>
          <w:szCs w:val="24"/>
        </w:rPr>
      </w:pPr>
      <w:proofErr w:type="spellStart"/>
      <w:r w:rsidRPr="002F327B">
        <w:rPr>
          <w:rFonts w:cstheme="minorHAnsi"/>
          <w:b/>
          <w:sz w:val="24"/>
          <w:szCs w:val="24"/>
        </w:rPr>
        <w:t>Križanićeva</w:t>
      </w:r>
      <w:proofErr w:type="spellEnd"/>
      <w:r w:rsidRPr="002F327B">
        <w:rPr>
          <w:rFonts w:cstheme="minorHAnsi"/>
          <w:b/>
          <w:sz w:val="24"/>
          <w:szCs w:val="24"/>
        </w:rPr>
        <w:t xml:space="preserve"> 4a</w:t>
      </w:r>
    </w:p>
    <w:p w14:paraId="23D250FD" w14:textId="7AD72A67" w:rsidR="001E0007" w:rsidRPr="002F327B" w:rsidRDefault="001E0007" w:rsidP="001E0007">
      <w:pPr>
        <w:outlineLvl w:val="0"/>
        <w:rPr>
          <w:rFonts w:cstheme="minorHAnsi"/>
          <w:b/>
          <w:sz w:val="24"/>
          <w:szCs w:val="24"/>
        </w:rPr>
      </w:pPr>
      <w:r w:rsidRPr="002F327B">
        <w:rPr>
          <w:rFonts w:cstheme="minorHAnsi"/>
          <w:b/>
          <w:sz w:val="24"/>
          <w:szCs w:val="24"/>
        </w:rPr>
        <w:t>Zagreb</w:t>
      </w:r>
    </w:p>
    <w:p w14:paraId="4F9755ED" w14:textId="77777777" w:rsidR="001E0007" w:rsidRPr="002F327B" w:rsidRDefault="001E0007" w:rsidP="001E0007">
      <w:pPr>
        <w:outlineLvl w:val="0"/>
        <w:rPr>
          <w:rFonts w:cstheme="minorHAnsi"/>
          <w:b/>
          <w:sz w:val="24"/>
          <w:szCs w:val="24"/>
        </w:rPr>
      </w:pPr>
    </w:p>
    <w:p w14:paraId="1608D49D" w14:textId="4E71B760" w:rsidR="001E0007" w:rsidRPr="002F327B" w:rsidRDefault="001E0007" w:rsidP="002F327B">
      <w:pPr>
        <w:outlineLvl w:val="0"/>
        <w:rPr>
          <w:rFonts w:cstheme="minorHAnsi"/>
          <w:b/>
          <w:sz w:val="24"/>
          <w:szCs w:val="24"/>
        </w:rPr>
      </w:pPr>
      <w:r w:rsidRPr="002F327B">
        <w:rPr>
          <w:rFonts w:cstheme="minorHAnsi"/>
          <w:b/>
          <w:sz w:val="24"/>
          <w:szCs w:val="24"/>
        </w:rPr>
        <w:t xml:space="preserve">Školski </w:t>
      </w:r>
      <w:proofErr w:type="spellStart"/>
      <w:r w:rsidRPr="002F327B">
        <w:rPr>
          <w:rFonts w:cstheme="minorHAnsi"/>
          <w:b/>
          <w:sz w:val="24"/>
          <w:szCs w:val="24"/>
        </w:rPr>
        <w:t>podaktiv</w:t>
      </w:r>
      <w:proofErr w:type="spellEnd"/>
      <w:r w:rsidRPr="002F327B">
        <w:rPr>
          <w:rFonts w:cstheme="minorHAnsi"/>
          <w:b/>
          <w:sz w:val="24"/>
          <w:szCs w:val="24"/>
        </w:rPr>
        <w:t xml:space="preserve"> kemije 202</w:t>
      </w:r>
      <w:r w:rsidR="00D47969">
        <w:rPr>
          <w:rFonts w:cstheme="minorHAnsi"/>
          <w:b/>
          <w:sz w:val="24"/>
          <w:szCs w:val="24"/>
        </w:rPr>
        <w:t>5</w:t>
      </w:r>
      <w:r w:rsidRPr="002F327B">
        <w:rPr>
          <w:rFonts w:cstheme="minorHAnsi"/>
          <w:b/>
          <w:sz w:val="24"/>
          <w:szCs w:val="24"/>
        </w:rPr>
        <w:t>./2</w:t>
      </w:r>
      <w:r w:rsidR="00D47969">
        <w:rPr>
          <w:rFonts w:cstheme="minorHAnsi"/>
          <w:b/>
          <w:sz w:val="24"/>
          <w:szCs w:val="24"/>
        </w:rPr>
        <w:t>6</w:t>
      </w:r>
      <w:r w:rsidRPr="002F327B">
        <w:rPr>
          <w:rFonts w:cstheme="minorHAnsi"/>
          <w:b/>
          <w:sz w:val="24"/>
          <w:szCs w:val="24"/>
        </w:rPr>
        <w:t>.</w:t>
      </w:r>
    </w:p>
    <w:p w14:paraId="6BD13E6F" w14:textId="768604C8" w:rsidR="001E0007" w:rsidRPr="002F327B" w:rsidRDefault="001E0007" w:rsidP="001E0007">
      <w:pPr>
        <w:outlineLvl w:val="0"/>
        <w:rPr>
          <w:rFonts w:cstheme="minorHAnsi"/>
          <w:b/>
          <w:sz w:val="24"/>
          <w:szCs w:val="24"/>
        </w:rPr>
      </w:pPr>
      <w:r w:rsidRPr="002F327B">
        <w:rPr>
          <w:rFonts w:cstheme="minorHAnsi"/>
          <w:b/>
          <w:sz w:val="24"/>
          <w:szCs w:val="24"/>
        </w:rPr>
        <w:t xml:space="preserve">Nastavnici: </w:t>
      </w:r>
      <w:r w:rsidRPr="002F327B">
        <w:rPr>
          <w:rFonts w:cstheme="minorHAnsi"/>
          <w:b/>
          <w:sz w:val="24"/>
          <w:szCs w:val="24"/>
        </w:rPr>
        <w:tab/>
      </w:r>
      <w:smartTag w:uri="urn:schemas-microsoft-com:office:smarttags" w:element="PersonName">
        <w:smartTagPr>
          <w:attr w:name="ProductID" w:val="Jasna Ferenčak"/>
        </w:smartTagPr>
        <w:r w:rsidRPr="002F327B">
          <w:rPr>
            <w:rFonts w:cstheme="minorHAnsi"/>
            <w:b/>
            <w:sz w:val="24"/>
            <w:szCs w:val="24"/>
          </w:rPr>
          <w:t xml:space="preserve">Jasna </w:t>
        </w:r>
        <w:proofErr w:type="spellStart"/>
        <w:r w:rsidRPr="002F327B">
          <w:rPr>
            <w:rFonts w:cstheme="minorHAnsi"/>
            <w:b/>
            <w:sz w:val="24"/>
            <w:szCs w:val="24"/>
          </w:rPr>
          <w:t>Ferenčak</w:t>
        </w:r>
      </w:smartTag>
      <w:proofErr w:type="spellEnd"/>
      <w:r w:rsidRPr="002F327B">
        <w:rPr>
          <w:rFonts w:cstheme="minorHAnsi"/>
          <w:b/>
          <w:sz w:val="24"/>
          <w:szCs w:val="24"/>
        </w:rPr>
        <w:t>,</w:t>
      </w:r>
      <w:r w:rsidR="00C06690">
        <w:rPr>
          <w:rFonts w:cstheme="minorHAnsi"/>
          <w:b/>
          <w:sz w:val="24"/>
          <w:szCs w:val="24"/>
        </w:rPr>
        <w:t xml:space="preserve"> </w:t>
      </w:r>
      <w:r w:rsidRPr="002F327B">
        <w:rPr>
          <w:rFonts w:cstheme="minorHAnsi"/>
          <w:b/>
          <w:sz w:val="24"/>
          <w:szCs w:val="24"/>
        </w:rPr>
        <w:t>prof. mentor</w:t>
      </w:r>
    </w:p>
    <w:p w14:paraId="55551964" w14:textId="77777777" w:rsidR="001E0007" w:rsidRPr="002F327B" w:rsidRDefault="001E0007" w:rsidP="001E0007">
      <w:pPr>
        <w:ind w:left="708" w:firstLine="708"/>
        <w:rPr>
          <w:rFonts w:cstheme="minorHAnsi"/>
          <w:b/>
          <w:sz w:val="24"/>
          <w:szCs w:val="24"/>
        </w:rPr>
      </w:pPr>
      <w:r w:rsidRPr="002F327B">
        <w:rPr>
          <w:rFonts w:cstheme="minorHAnsi"/>
          <w:b/>
          <w:sz w:val="24"/>
          <w:szCs w:val="24"/>
        </w:rPr>
        <w:t xml:space="preserve">mr. </w:t>
      </w:r>
      <w:proofErr w:type="spellStart"/>
      <w:r w:rsidRPr="002F327B">
        <w:rPr>
          <w:rFonts w:cstheme="minorHAnsi"/>
          <w:b/>
          <w:sz w:val="24"/>
          <w:szCs w:val="24"/>
        </w:rPr>
        <w:t>spec</w:t>
      </w:r>
      <w:proofErr w:type="spellEnd"/>
      <w:r w:rsidRPr="002F327B">
        <w:rPr>
          <w:rFonts w:cstheme="minorHAnsi"/>
          <w:b/>
          <w:sz w:val="24"/>
          <w:szCs w:val="24"/>
        </w:rPr>
        <w:t xml:space="preserve">. Ljubica Stalman, prof.  </w:t>
      </w:r>
    </w:p>
    <w:p w14:paraId="3CBBEEEA" w14:textId="77777777" w:rsidR="001E0007" w:rsidRPr="002F327B" w:rsidRDefault="001E0007" w:rsidP="001E0007">
      <w:pPr>
        <w:ind w:left="708" w:firstLine="708"/>
        <w:rPr>
          <w:rFonts w:cstheme="minorHAnsi"/>
          <w:b/>
          <w:sz w:val="24"/>
          <w:szCs w:val="24"/>
        </w:rPr>
      </w:pPr>
    </w:p>
    <w:p w14:paraId="7FE43A1B" w14:textId="77777777" w:rsidR="009D1368" w:rsidRPr="00CD408E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1. Elementi ocjenjivanja i oblici provjere učeničkih postignuća </w:t>
      </w:r>
    </w:p>
    <w:p w14:paraId="6DD4DD57" w14:textId="77777777" w:rsidR="00880803" w:rsidRPr="00CD408E" w:rsidRDefault="00880803" w:rsidP="009D1368">
      <w:pPr>
        <w:spacing w:after="0" w:line="240" w:lineRule="auto"/>
        <w:textAlignment w:val="baseline"/>
        <w:rPr>
          <w:rFonts w:ascii="Segoe UI" w:eastAsia="Times New Roman" w:hAnsi="Segoe UI" w:cs="Segoe UI"/>
          <w:color w:val="2E75B5"/>
          <w:sz w:val="24"/>
          <w:szCs w:val="24"/>
          <w:lang w:eastAsia="hr-HR"/>
        </w:rPr>
      </w:pPr>
    </w:p>
    <w:p w14:paraId="71961458" w14:textId="77777777" w:rsidR="009D1368" w:rsidRPr="00CD408E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>Elementi ocjenjivanja učeničkih postignuća iz nastavnog predmeta Kemija su: </w:t>
      </w:r>
    </w:p>
    <w:p w14:paraId="25975B99" w14:textId="2A6C59B3" w:rsidR="009D1368" w:rsidRPr="00CD408E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1.1. usvojenost </w:t>
      </w:r>
      <w:r w:rsidR="001E0007" w:rsidRPr="00CD408E">
        <w:rPr>
          <w:rFonts w:ascii="Calibri" w:eastAsia="Times New Roman" w:hAnsi="Calibri" w:cs="Calibri"/>
          <w:sz w:val="24"/>
          <w:szCs w:val="24"/>
          <w:lang w:eastAsia="hr-HR"/>
        </w:rPr>
        <w:t>kemijskih koncepata</w:t>
      </w: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 (znanje i razumijevanje)  </w:t>
      </w:r>
    </w:p>
    <w:p w14:paraId="527E45CD" w14:textId="565B1246" w:rsidR="00BD182C" w:rsidRPr="00CD408E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>1.2. prirodozna</w:t>
      </w:r>
      <w:r w:rsidR="00310782" w:rsidRPr="00CD408E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>stven</w:t>
      </w:r>
      <w:r w:rsidR="00BD182C" w:rsidRPr="00CD408E">
        <w:rPr>
          <w:rFonts w:ascii="Calibri" w:eastAsia="Times New Roman" w:hAnsi="Calibri" w:cs="Calibri"/>
          <w:sz w:val="24"/>
          <w:szCs w:val="24"/>
          <w:lang w:eastAsia="hr-HR"/>
        </w:rPr>
        <w:t>e kompetencije</w:t>
      </w: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 (računski i problemski zadaci, seminarski i projektni radovi, </w:t>
      </w:r>
      <w:r w:rsidR="00997B49" w:rsidRPr="00CD408E">
        <w:rPr>
          <w:rFonts w:ascii="Calibri" w:eastAsia="Times New Roman" w:hAnsi="Calibri" w:cs="Calibri"/>
          <w:sz w:val="24"/>
          <w:szCs w:val="24"/>
          <w:lang w:eastAsia="hr-HR"/>
        </w:rPr>
        <w:t>školski i domaći rad i sl.) </w:t>
      </w:r>
      <w:r w:rsidR="00997B49" w:rsidRPr="00CD408E">
        <w:rPr>
          <w:rFonts w:ascii="Calibri" w:eastAsia="Times New Roman" w:hAnsi="Calibri" w:cs="Calibri"/>
          <w:sz w:val="24"/>
          <w:szCs w:val="24"/>
          <w:lang w:val="en-US" w:eastAsia="hr-HR"/>
        </w:rPr>
        <w:t> </w:t>
      </w:r>
    </w:p>
    <w:p w14:paraId="69227327" w14:textId="00C31075" w:rsidR="009D1368" w:rsidRPr="00CD408E" w:rsidRDefault="00BD182C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</w:t>
      </w:r>
    </w:p>
    <w:p w14:paraId="72FA5C9D" w14:textId="77777777" w:rsidR="00BD182C" w:rsidRPr="00CD408E" w:rsidRDefault="00BD182C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</w:p>
    <w:p w14:paraId="18423602" w14:textId="77777777" w:rsidR="004E22D1" w:rsidRPr="00CD408E" w:rsidRDefault="004E22D1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</w:p>
    <w:p w14:paraId="69A887D7" w14:textId="06EB2BB6" w:rsidR="009D1368" w:rsidRPr="00CD408E" w:rsidRDefault="009D1368" w:rsidP="00880803">
      <w:pPr>
        <w:pStyle w:val="Odlomakpopisa"/>
        <w:numPr>
          <w:ilvl w:val="1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 xml:space="preserve">Usvojenost </w:t>
      </w:r>
      <w:r w:rsidR="009C31D4"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kemijskih koncepata</w:t>
      </w: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 xml:space="preserve"> (znanje i razumijevanje) </w:t>
      </w:r>
    </w:p>
    <w:p w14:paraId="5DC5EC83" w14:textId="77777777" w:rsidR="00880803" w:rsidRPr="00CD408E" w:rsidRDefault="00880803" w:rsidP="00880803">
      <w:pPr>
        <w:pStyle w:val="Odlomakpopisa"/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2E75B5"/>
          <w:sz w:val="24"/>
          <w:szCs w:val="24"/>
          <w:lang w:eastAsia="hr-HR"/>
        </w:rPr>
      </w:pPr>
    </w:p>
    <w:p w14:paraId="4965EFCC" w14:textId="0E7A2D3F" w:rsidR="009D1368" w:rsidRPr="00CD408E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Obuhvaća postignuća u kognitivnoj ili spoznajnoj domeni razvoja. U sklopu ove sastavnice vrednuje se poznavanje temeljnih pojmova i stručnog nazivlja, razumijevanje pojava i procesa, objašnjavanje međuodnosa i uzročno-posljedičnih veza. Podrazumijeva prosudbe o znanju i razumijevanju činjenica, pojmova, koncepta i postupaka u kemiji. Oblik provjere učeničkih postignuća unutar ovog elementa može biti </w:t>
      </w:r>
      <w:r w:rsidRPr="00CD408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pisani i usmeni odgovor</w:t>
      </w: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>. Usmeno provjeravanje može se provoditi na svakom nastavnom satu, bez obaveze najave (sukladno s postojećim zakonskim odredbama), dok se pisani ispit najavljuje sukladno zakonskim odredbama. Prigodom uvodnog ponavljanja prethodno obrađenih sadržaja moguće je ocijeniti dio učenika.  </w:t>
      </w:r>
    </w:p>
    <w:p w14:paraId="78501EA5" w14:textId="77777777" w:rsidR="00BD182C" w:rsidRPr="00CD408E" w:rsidRDefault="00BD182C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</w:p>
    <w:p w14:paraId="1503FE6D" w14:textId="77777777" w:rsidR="004E22D1" w:rsidRPr="00CD408E" w:rsidRDefault="004E22D1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</w:p>
    <w:p w14:paraId="5FBB296C" w14:textId="53D25259" w:rsidR="00880803" w:rsidRPr="00CD408E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1.2. Prirodoznanstven</w:t>
      </w:r>
      <w:r w:rsidR="009C31D4"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e kompetencije</w:t>
      </w: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 xml:space="preserve"> (računski i problemski zadaci, seminarski i </w:t>
      </w:r>
    </w:p>
    <w:p w14:paraId="66AD30C9" w14:textId="2786448C" w:rsidR="009D1368" w:rsidRPr="00CD408E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val="en-US" w:eastAsia="hr-HR"/>
        </w:rPr>
      </w:pPr>
      <w:r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 xml:space="preserve">        </w:t>
      </w:r>
      <w:r w:rsidR="009D1368" w:rsidRPr="00CD408E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projektni radovi, školski i domaći rad)</w:t>
      </w:r>
      <w:r w:rsidR="009D1368" w:rsidRPr="00CD408E">
        <w:rPr>
          <w:rFonts w:ascii="Calibri" w:eastAsia="Times New Roman" w:hAnsi="Calibri" w:cs="Calibri"/>
          <w:color w:val="0070C0"/>
          <w:sz w:val="24"/>
          <w:szCs w:val="24"/>
          <w:lang w:val="en-US" w:eastAsia="hr-HR"/>
        </w:rPr>
        <w:t> </w:t>
      </w:r>
    </w:p>
    <w:p w14:paraId="0DEDAC4F" w14:textId="77777777" w:rsidR="00880803" w:rsidRPr="00CD408E" w:rsidRDefault="00880803" w:rsidP="009D1368">
      <w:pPr>
        <w:spacing w:after="0" w:line="240" w:lineRule="auto"/>
        <w:textAlignment w:val="baseline"/>
        <w:rPr>
          <w:rFonts w:ascii="Segoe UI" w:eastAsia="Times New Roman" w:hAnsi="Segoe UI" w:cs="Segoe UI"/>
          <w:color w:val="2E75B5"/>
          <w:sz w:val="24"/>
          <w:szCs w:val="24"/>
          <w:lang w:val="en-US" w:eastAsia="hr-HR"/>
        </w:rPr>
      </w:pPr>
    </w:p>
    <w:p w14:paraId="1D3585DC" w14:textId="77777777" w:rsidR="009D1368" w:rsidRPr="00CD408E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>Podrazumijeva sposobnost primjene stečenog znanja u rješavanju konkretnih problemskih situacija, npr. povezivanju rezultata pokusa s konceptualnim spoznajama, primjeni matematičkih vještina i uočavanju zakonitosti uopćavanjem podataka i sl. U ovoj se sastavnici ocjenjuje učenikova sposobnost i vještina prikazivanja dostupnih podataka o nekoj pojavi ili procesu na znanstveni način te razvrstavanja u glavne kategorije, raspravljanja problema (pojave) s različitih motrišta, smislenog raščlanjivanja problema (tabelarni prikaz, grafikon) i prikazivanja međuodnosa.  </w:t>
      </w:r>
    </w:p>
    <w:p w14:paraId="6FC4614B" w14:textId="5F1B9FC9" w:rsidR="009D1368" w:rsidRPr="006172B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CD408E">
        <w:rPr>
          <w:rFonts w:ascii="Calibri" w:eastAsia="Times New Roman" w:hAnsi="Calibri" w:cs="Calibri"/>
          <w:sz w:val="24"/>
          <w:szCs w:val="24"/>
          <w:lang w:eastAsia="hr-HR"/>
        </w:rPr>
        <w:t xml:space="preserve">Prevladavajući oblik provjere učeničkih postignuća unutar ovog elementa ocjenjivanja jest rješavanje zadataka objektivnog tipa. Uz ovaj oblik provjere, moguće je procijeniti primjenu </w:t>
      </w: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znanja kroz seminarske i projektne radove, eseje, razgovorom i pomoću aktivnosti tijekom nastavnog procesa, rješavanjem domaćih radova, izradom samostalnih praktičnih radova. Prikaz istraživanja, prikaz zaključka rasprave, različite prezentacije, referati, plakati, seminarski radovi te križaljke i konceptualne mape također mogu pokazati sposobnost primjene znanja. Prilikom vrednovanja grupnog uratka u ovoj se sastavnici može ocijeniti učenikov individualni doprinos radu grupe.   </w:t>
      </w:r>
    </w:p>
    <w:p w14:paraId="5BD5665E" w14:textId="34B49175" w:rsidR="009D1368" w:rsidRPr="006172B8" w:rsidRDefault="00894E77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="009D1368"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rimjer </w:t>
      </w:r>
      <w:r w:rsidR="00376229"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pismenog </w:t>
      </w:r>
      <w:r w:rsidR="009D1368"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ocjenjivanja učeničkog postignuća </w:t>
      </w: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je</w:t>
      </w:r>
      <w:r w:rsidR="009D1368" w:rsidRPr="006172B8">
        <w:rPr>
          <w:rFonts w:ascii="Calibri" w:eastAsia="Times New Roman" w:hAnsi="Calibri" w:cs="Calibri"/>
          <w:sz w:val="24"/>
          <w:szCs w:val="24"/>
          <w:lang w:eastAsia="hr-HR"/>
        </w:rPr>
        <w:t>: </w:t>
      </w:r>
    </w:p>
    <w:p w14:paraId="0DE81CD1" w14:textId="77777777" w:rsidR="004E22D1" w:rsidRPr="006172B8" w:rsidRDefault="004E22D1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D663DBD" w14:textId="77777777" w:rsidR="004E22D1" w:rsidRPr="006172B8" w:rsidRDefault="004E22D1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8D7C214" w14:textId="77777777" w:rsidR="004E22D1" w:rsidRPr="006172B8" w:rsidRDefault="004E22D1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0AC3C12" w14:textId="77777777" w:rsidR="00880803" w:rsidRPr="006172B8" w:rsidRDefault="00880803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59"/>
      </w:tblGrid>
      <w:tr w:rsidR="009D1368" w:rsidRPr="006172B8" w14:paraId="342DEB66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EEBF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C5022F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postignuti %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B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F19D57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ocjena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D1368" w:rsidRPr="006172B8" w14:paraId="479586FD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AC64E5" w14:textId="39079AFE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0  – </w:t>
            </w:r>
            <w:r w:rsidR="00BD182C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A791E9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nedovoljan (1) </w:t>
            </w:r>
          </w:p>
        </w:tc>
      </w:tr>
      <w:tr w:rsidR="009D1368" w:rsidRPr="006172B8" w14:paraId="08833D38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686E9A" w14:textId="563527DA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</w:t>
            </w:r>
            <w:r w:rsidR="00BD182C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,5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– 6</w:t>
            </w:r>
            <w:r w:rsidR="009730E1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67E9DB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dovoljan (2) </w:t>
            </w:r>
          </w:p>
        </w:tc>
      </w:tr>
      <w:tr w:rsidR="009D1368" w:rsidRPr="006172B8" w14:paraId="574F49AF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D04BD6" w14:textId="79AA3082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  <w:r w:rsidR="009730E1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2,5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- 7</w:t>
            </w:r>
            <w:r w:rsidR="009730E1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FA16F4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dobar (3) </w:t>
            </w:r>
          </w:p>
        </w:tc>
      </w:tr>
      <w:tr w:rsidR="009D1368" w:rsidRPr="006172B8" w14:paraId="2A369AAB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CA9D83" w14:textId="023C1F87" w:rsidR="009D1368" w:rsidRPr="006172B8" w:rsidRDefault="009730E1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</w:t>
            </w:r>
            <w:r w:rsidR="009D1368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,5</w:t>
            </w:r>
            <w:r w:rsidR="009D1368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- 9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  <w:r w:rsidR="009D1368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096362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vrlo dobar (4) </w:t>
            </w:r>
          </w:p>
        </w:tc>
      </w:tr>
      <w:tr w:rsidR="009D1368" w:rsidRPr="006172B8" w14:paraId="690EACC6" w14:textId="77777777" w:rsidTr="00880803">
        <w:trPr>
          <w:jc w:val="center"/>
        </w:trPr>
        <w:tc>
          <w:tcPr>
            <w:tcW w:w="141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D85376" w14:textId="298796B4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90</w:t>
            </w:r>
            <w:r w:rsidR="009730E1"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,5</w:t>
            </w: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- 100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069855" w14:textId="77777777" w:rsidR="009D1368" w:rsidRPr="006172B8" w:rsidRDefault="009D1368" w:rsidP="009D13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72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odličan (5) </w:t>
            </w:r>
          </w:p>
        </w:tc>
      </w:tr>
    </w:tbl>
    <w:p w14:paraId="09F01BDD" w14:textId="7788B2E4" w:rsidR="009D1368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  </w:t>
      </w:r>
    </w:p>
    <w:p w14:paraId="48631B14" w14:textId="77777777" w:rsidR="0038194D" w:rsidRDefault="0038194D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07CFD55" w14:textId="77777777" w:rsidR="0038194D" w:rsidRPr="006172B8" w:rsidRDefault="0038194D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</w:p>
    <w:p w14:paraId="5B69A076" w14:textId="77777777" w:rsidR="009D1368" w:rsidRPr="006172B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U pisanoj zadaći svaki  je zadatak posebno vrednovan (po potrebi i po koracima pa se priznaju svi korektno napisani koraci unutar istoga zadatka, ne samo konačno rješenje), a maksimalne bodovne vrijednosti zadataka navode se uz tekst zadatka i služe učenicima kao orijentacija o ukupnom postignuću nakon rješavanja. </w:t>
      </w:r>
    </w:p>
    <w:p w14:paraId="7E3DAB07" w14:textId="4E4EEA15" w:rsidR="009D1368" w:rsidRPr="006172B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Rješavanje zadataka objektivnog tipa (pisano ili online) i ocjenjivanje učenikova znanja može se provoditi više puta godišnje</w:t>
      </w:r>
      <w:r w:rsidR="00E70543"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 prema </w:t>
      </w:r>
      <w:proofErr w:type="spellStart"/>
      <w:r w:rsidR="00E70543" w:rsidRPr="006172B8">
        <w:rPr>
          <w:rFonts w:ascii="Calibri" w:eastAsia="Times New Roman" w:hAnsi="Calibri" w:cs="Calibri"/>
          <w:sz w:val="24"/>
          <w:szCs w:val="24"/>
          <w:lang w:eastAsia="hr-HR"/>
        </w:rPr>
        <w:t>vremeniku</w:t>
      </w:r>
      <w:proofErr w:type="spellEnd"/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 pisanih provjera</w:t>
      </w:r>
      <w:r w:rsidR="00E70543"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 vidljivim u e</w:t>
      </w:r>
      <w:r w:rsidR="00BD182C" w:rsidRPr="006172B8">
        <w:rPr>
          <w:rFonts w:ascii="Calibri" w:eastAsia="Times New Roman" w:hAnsi="Calibri" w:cs="Calibri"/>
          <w:sz w:val="24"/>
          <w:szCs w:val="24"/>
          <w:lang w:eastAsia="hr-HR"/>
        </w:rPr>
        <w:t>-</w:t>
      </w:r>
      <w:r w:rsidR="00E70543" w:rsidRPr="006172B8">
        <w:rPr>
          <w:rFonts w:ascii="Calibri" w:eastAsia="Times New Roman" w:hAnsi="Calibri" w:cs="Calibri"/>
          <w:sz w:val="24"/>
          <w:szCs w:val="24"/>
          <w:lang w:eastAsia="hr-HR"/>
        </w:rPr>
        <w:t>dnevniku.</w:t>
      </w: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1ED7156B" w14:textId="77777777" w:rsidR="009D1368" w:rsidRPr="006172B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Rješavanje složenijih zadataka na satu, a to podrazumijeva samostalno rješavanje tekstualnih ili matematičkih (brojčanih) zadataka u okviru tekućeg nastavnog sadržaja, vrednuje se odmah, na nastavnom satu, prema načelu točno – netočno i donosi ocjenu odličan u rubrici 'prirodoslovni pristup'. Prigodom obrade novih sadržaja moguće je ocijeniti dio učenika koji se na osnovu ranije stečenog znanja uspješno snalaze u novim situacijama.  </w:t>
      </w:r>
    </w:p>
    <w:p w14:paraId="42539C39" w14:textId="77777777" w:rsidR="00880803" w:rsidRPr="006172B8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DB39D82" w14:textId="77777777" w:rsidR="00880803" w:rsidRPr="006172B8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 xml:space="preserve">Domaće zadaće moguće je koristiti za provjeravanja znanja učenika na način da se provjeri je li učenik sam pisao zadaću i koliko ju je razumio. </w:t>
      </w:r>
    </w:p>
    <w:p w14:paraId="048C0AA2" w14:textId="77777777" w:rsidR="00880803" w:rsidRPr="006172B8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5D76AC" w14:textId="7EAE6CAC" w:rsidR="009D1368" w:rsidRPr="006172B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Vježbanje na satu se također koristi za provjeravanje i ocjenjivanje učenika. Zadavanjem zadataka različite složenosti, koji učenici samostalno rješavaju, moguće je skupiti podatke o stupnju usvojenosti određenih sadržaja.   </w:t>
      </w:r>
    </w:p>
    <w:p w14:paraId="60395157" w14:textId="77777777" w:rsidR="00880803" w:rsidRPr="006172B8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46C5BCD" w14:textId="0B809DFB" w:rsidR="009D1368" w:rsidRPr="006172B8" w:rsidRDefault="009D1368" w:rsidP="009D136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n-US" w:eastAsia="hr-HR"/>
        </w:rPr>
      </w:pP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Afektivno područje učeničkog razvoja, iskazano kroz </w:t>
      </w:r>
      <w:r w:rsidRPr="006172B8">
        <w:rPr>
          <w:rFonts w:ascii="Calibri" w:eastAsia="Times New Roman" w:hAnsi="Calibri" w:cs="Calibri"/>
          <w:i/>
          <w:iCs/>
          <w:sz w:val="24"/>
          <w:szCs w:val="24"/>
          <w:lang w:eastAsia="hr-HR"/>
        </w:rPr>
        <w:t>Odnos učenika prema radu</w:t>
      </w:r>
      <w:r w:rsidRPr="006172B8">
        <w:rPr>
          <w:rFonts w:ascii="Calibri" w:eastAsia="Times New Roman" w:hAnsi="Calibri" w:cs="Calibri"/>
          <w:sz w:val="24"/>
          <w:szCs w:val="24"/>
          <w:lang w:eastAsia="hr-HR"/>
        </w:rPr>
        <w:t> u pravilu se prati bilješkama o radu i napredovanju učenika  i ocjenjuje se opisno.  </w:t>
      </w:r>
      <w:r w:rsidRPr="006172B8">
        <w:rPr>
          <w:rFonts w:ascii="Calibri" w:eastAsia="Times New Roman" w:hAnsi="Calibri" w:cs="Calibri"/>
          <w:sz w:val="24"/>
          <w:szCs w:val="24"/>
          <w:lang w:val="en-US" w:eastAsia="hr-HR"/>
        </w:rPr>
        <w:t> </w:t>
      </w:r>
    </w:p>
    <w:p w14:paraId="1CAAD6FA" w14:textId="77777777" w:rsidR="00880803" w:rsidRPr="006172B8" w:rsidRDefault="00880803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</w:p>
    <w:p w14:paraId="7C11A349" w14:textId="77777777" w:rsidR="001966E8" w:rsidRDefault="001966E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048D499" w14:textId="77777777" w:rsidR="004E22D1" w:rsidRDefault="004E22D1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4F90AB2" w14:textId="77777777" w:rsidR="004E22D1" w:rsidRDefault="004E22D1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5891223" w14:textId="77777777" w:rsidR="004E22D1" w:rsidRPr="004D5AC9" w:rsidRDefault="004E22D1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BAFB11D" w14:textId="77777777" w:rsidR="00880803" w:rsidRPr="001966E8" w:rsidRDefault="00880803" w:rsidP="00880803">
      <w:pPr>
        <w:spacing w:after="0" w:line="240" w:lineRule="auto"/>
        <w:textAlignment w:val="baseline"/>
        <w:rPr>
          <w:rFonts w:ascii="Segoe UI" w:eastAsia="Times New Roman" w:hAnsi="Segoe UI" w:cs="Segoe UI"/>
          <w:color w:val="2E75B5"/>
          <w:sz w:val="24"/>
          <w:szCs w:val="24"/>
          <w:lang w:val="en-US" w:eastAsia="hr-HR"/>
        </w:rPr>
      </w:pPr>
      <w:r w:rsidRPr="001966E8">
        <w:rPr>
          <w:rFonts w:ascii="Calibri" w:eastAsia="Times New Roman" w:hAnsi="Calibri" w:cs="Calibri"/>
          <w:color w:val="0070C0"/>
          <w:sz w:val="24"/>
          <w:szCs w:val="24"/>
          <w:lang w:val="en-US" w:eastAsia="hr-HR"/>
        </w:rPr>
        <w:lastRenderedPageBreak/>
        <w:t>2.1. </w:t>
      </w:r>
      <w:r w:rsidRPr="001966E8">
        <w:rPr>
          <w:rFonts w:ascii="Calibri" w:eastAsia="Times New Roman" w:hAnsi="Calibri" w:cs="Calibri"/>
          <w:color w:val="0070C0"/>
          <w:sz w:val="24"/>
          <w:szCs w:val="24"/>
          <w:lang w:eastAsia="hr-HR"/>
        </w:rPr>
        <w:t>Ocjenjivanje učeničkih postignuća</w:t>
      </w:r>
      <w:r w:rsidRPr="001966E8">
        <w:rPr>
          <w:rFonts w:ascii="Calibri" w:eastAsia="Times New Roman" w:hAnsi="Calibri" w:cs="Calibri"/>
          <w:color w:val="0070C0"/>
          <w:sz w:val="24"/>
          <w:szCs w:val="24"/>
          <w:lang w:val="en-US" w:eastAsia="hr-HR"/>
        </w:rPr>
        <w:t> </w:t>
      </w:r>
    </w:p>
    <w:p w14:paraId="19AEB723" w14:textId="06BC2D5A" w:rsidR="00880803" w:rsidRPr="001966E8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val="en-US" w:eastAsia="hr-HR"/>
        </w:rPr>
      </w:pPr>
      <w:proofErr w:type="spellStart"/>
      <w:r w:rsidRPr="001966E8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Tablica</w:t>
      </w:r>
      <w:proofErr w:type="spellEnd"/>
      <w:r w:rsidRPr="001966E8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 1</w:t>
      </w:r>
      <w:r w:rsidRPr="001966E8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 </w:t>
      </w:r>
      <w:proofErr w:type="spellStart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Vrednovanje</w:t>
      </w:r>
      <w:proofErr w:type="spellEnd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</w:t>
      </w:r>
      <w:proofErr w:type="spellStart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sadržaja</w:t>
      </w:r>
      <w:proofErr w:type="spellEnd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</w:t>
      </w:r>
      <w:proofErr w:type="spellStart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i</w:t>
      </w:r>
      <w:proofErr w:type="spellEnd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</w:t>
      </w:r>
      <w:proofErr w:type="spellStart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prirodoslovnog</w:t>
      </w:r>
      <w:proofErr w:type="spellEnd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</w:t>
      </w:r>
      <w:proofErr w:type="spellStart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pristupa</w:t>
      </w:r>
      <w:proofErr w:type="spellEnd"/>
      <w:r w:rsidRPr="001966E8">
        <w:rPr>
          <w:rFonts w:ascii="Calibri" w:eastAsia="Times New Roman" w:hAnsi="Calibri" w:cs="Calibri"/>
          <w:sz w:val="24"/>
          <w:szCs w:val="24"/>
          <w:lang w:val="en-US" w:eastAsia="hr-HR"/>
        </w:rPr>
        <w:t> </w:t>
      </w:r>
    </w:p>
    <w:tbl>
      <w:tblPr>
        <w:tblStyle w:val="Reetkatablic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559"/>
        <w:gridCol w:w="1985"/>
        <w:gridCol w:w="2268"/>
      </w:tblGrid>
      <w:tr w:rsidR="00880803" w:rsidRPr="0018337F" w14:paraId="4FB6454B" w14:textId="77777777" w:rsidTr="0049588A">
        <w:tc>
          <w:tcPr>
            <w:tcW w:w="993" w:type="dxa"/>
            <w:shd w:val="clear" w:color="auto" w:fill="C5E0B3" w:themeFill="accent6" w:themeFillTint="66"/>
          </w:tcPr>
          <w:p w14:paraId="376072B6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A1D725B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Nedovoljan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6B8D66A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Dovoljan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C0673AE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Dobar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E90A584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Vrlo dobar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E2A817C" w14:textId="77777777" w:rsidR="00880803" w:rsidRPr="0018337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337F">
              <w:rPr>
                <w:rFonts w:eastAsia="Times New Roman" w:cstheme="minorHAnsi"/>
                <w:b/>
                <w:bCs/>
                <w:sz w:val="20"/>
                <w:szCs w:val="20"/>
              </w:rPr>
              <w:t>Odličan</w:t>
            </w:r>
          </w:p>
        </w:tc>
      </w:tr>
      <w:tr w:rsidR="00880803" w:rsidRPr="0018337F" w14:paraId="55F2BA60" w14:textId="77777777" w:rsidTr="0049588A">
        <w:trPr>
          <w:trHeight w:val="5665"/>
        </w:trPr>
        <w:tc>
          <w:tcPr>
            <w:tcW w:w="993" w:type="dxa"/>
            <w:vAlign w:val="center"/>
          </w:tcPr>
          <w:p w14:paraId="1E8D2085" w14:textId="77777777" w:rsidR="00880803" w:rsidRPr="0018337F" w:rsidRDefault="00880803" w:rsidP="0049588A">
            <w:pPr>
              <w:spacing w:before="100" w:beforeAutospacing="1" w:after="100" w:afterAutospacing="1"/>
              <w:jc w:val="right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272552BA" w14:textId="77777777" w:rsidR="00880803" w:rsidRPr="0018337F" w:rsidRDefault="00880803" w:rsidP="0049588A">
            <w:pPr>
              <w:rPr>
                <w:rFonts w:eastAsia="Times New Roman" w:cs="Calibri"/>
                <w:b/>
                <w:sz w:val="20"/>
                <w:szCs w:val="20"/>
              </w:rPr>
            </w:pPr>
            <w:r w:rsidRPr="0018337F">
              <w:rPr>
                <w:rFonts w:eastAsia="Times New Roman" w:cs="Calibri"/>
                <w:b/>
                <w:sz w:val="20"/>
                <w:szCs w:val="20"/>
              </w:rPr>
              <w:t>Usmeno</w:t>
            </w:r>
          </w:p>
          <w:p w14:paraId="5DE37D30" w14:textId="77777777" w:rsidR="00880803" w:rsidRPr="0018337F" w:rsidRDefault="00880803" w:rsidP="0049588A">
            <w:pPr>
              <w:rPr>
                <w:rFonts w:eastAsia="Times New Roman" w:cs="Calibri"/>
                <w:b/>
                <w:sz w:val="16"/>
                <w:szCs w:val="16"/>
              </w:rPr>
            </w:pPr>
            <w:r w:rsidRPr="0018337F">
              <w:rPr>
                <w:rFonts w:eastAsia="Times New Roman" w:cs="Calibri"/>
                <w:b/>
                <w:sz w:val="16"/>
                <w:szCs w:val="16"/>
              </w:rPr>
              <w:t>(kvaliteta odgovora)</w:t>
            </w:r>
          </w:p>
        </w:tc>
        <w:tc>
          <w:tcPr>
            <w:tcW w:w="1701" w:type="dxa"/>
          </w:tcPr>
          <w:p w14:paraId="7B468F8C" w14:textId="77777777" w:rsidR="00880803" w:rsidRPr="0018337F" w:rsidRDefault="00880803" w:rsidP="00880803">
            <w:pPr>
              <w:numPr>
                <w:ilvl w:val="0"/>
                <w:numId w:val="2"/>
              </w:numPr>
              <w:tabs>
                <w:tab w:val="num" w:pos="170"/>
              </w:tabs>
              <w:spacing w:before="100" w:beforeAutospacing="1" w:after="100" w:afterAutospacing="1"/>
              <w:ind w:left="170" w:hanging="1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18337F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8337F">
              <w:rPr>
                <w:rFonts w:cstheme="minorHAnsi"/>
                <w:sz w:val="20"/>
                <w:szCs w:val="20"/>
              </w:rPr>
              <w:t>prepoznaje osnovne pojmove ključne za daljnje razumijevanje nastavnog gradiva iz kemije</w:t>
            </w:r>
          </w:p>
          <w:p w14:paraId="5CFDEA64" w14:textId="77777777" w:rsidR="00880803" w:rsidRPr="0018337F" w:rsidRDefault="00880803" w:rsidP="00880803">
            <w:pPr>
              <w:numPr>
                <w:ilvl w:val="0"/>
                <w:numId w:val="2"/>
              </w:numPr>
              <w:tabs>
                <w:tab w:val="num" w:pos="170"/>
              </w:tabs>
              <w:spacing w:before="100" w:beforeAutospacing="1" w:after="100" w:afterAutospacing="1"/>
              <w:ind w:left="170" w:hanging="170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nisu usvojene temeljne činjenice i predviđeni koncepti </w:t>
            </w:r>
          </w:p>
          <w:p w14:paraId="1415D3D3" w14:textId="77777777" w:rsidR="00880803" w:rsidRPr="0018337F" w:rsidRDefault="00880803" w:rsidP="00880803">
            <w:pPr>
              <w:numPr>
                <w:ilvl w:val="0"/>
                <w:numId w:val="2"/>
              </w:numPr>
              <w:tabs>
                <w:tab w:val="num" w:pos="170"/>
              </w:tabs>
              <w:spacing w:before="100" w:beforeAutospacing="1" w:after="100" w:afterAutospacing="1"/>
              <w:ind w:left="170" w:hanging="170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ne razumije nastavni sadržaj i nije ga u stanju samostalno reproducirati </w:t>
            </w:r>
          </w:p>
          <w:p w14:paraId="246C02CC" w14:textId="77777777" w:rsidR="00880803" w:rsidRPr="0018337F" w:rsidRDefault="00880803" w:rsidP="0049588A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B407FA" w14:textId="77777777" w:rsidR="00880803" w:rsidRPr="0018337F" w:rsidRDefault="00880803" w:rsidP="00880803">
            <w:pPr>
              <w:numPr>
                <w:ilvl w:val="0"/>
                <w:numId w:val="3"/>
              </w:numPr>
              <w:tabs>
                <w:tab w:val="clear" w:pos="720"/>
                <w:tab w:val="num" w:pos="268"/>
              </w:tabs>
              <w:spacing w:before="100" w:beforeAutospacing="1" w:after="100" w:afterAutospacing="1"/>
              <w:ind w:left="268" w:hanging="283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usvojene su temeljne činjenice, ali nisu usvojeni temeljni koncepti </w:t>
            </w:r>
          </w:p>
          <w:p w14:paraId="3BA2E0AE" w14:textId="77777777" w:rsidR="00880803" w:rsidRPr="0018337F" w:rsidRDefault="00880803" w:rsidP="00880803">
            <w:pPr>
              <w:numPr>
                <w:ilvl w:val="0"/>
                <w:numId w:val="3"/>
              </w:numPr>
              <w:tabs>
                <w:tab w:val="clear" w:pos="720"/>
                <w:tab w:val="num" w:pos="268"/>
              </w:tabs>
              <w:spacing w:before="100" w:beforeAutospacing="1" w:after="100" w:afterAutospacing="1"/>
              <w:ind w:left="268" w:hanging="283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učenik prepoznaje i reproducira osnovne pojmove </w:t>
            </w:r>
          </w:p>
          <w:p w14:paraId="72924B66" w14:textId="77777777" w:rsidR="00880803" w:rsidRPr="0018337F" w:rsidRDefault="00880803" w:rsidP="00880803">
            <w:pPr>
              <w:numPr>
                <w:ilvl w:val="0"/>
                <w:numId w:val="3"/>
              </w:numPr>
              <w:tabs>
                <w:tab w:val="clear" w:pos="720"/>
                <w:tab w:val="num" w:pos="268"/>
              </w:tabs>
              <w:spacing w:before="100" w:beforeAutospacing="1" w:after="100" w:afterAutospacing="1"/>
              <w:ind w:left="268" w:hanging="283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razumije sadržaj, ali ga ne zna primijeniti niti obrazložiti koristeći zadane primjere </w:t>
            </w:r>
          </w:p>
          <w:p w14:paraId="7163803D" w14:textId="77777777" w:rsidR="00880803" w:rsidRPr="0018337F" w:rsidRDefault="00880803" w:rsidP="00880803">
            <w:pPr>
              <w:numPr>
                <w:ilvl w:val="0"/>
                <w:numId w:val="3"/>
              </w:numPr>
              <w:tabs>
                <w:tab w:val="clear" w:pos="720"/>
                <w:tab w:val="num" w:pos="268"/>
              </w:tabs>
              <w:spacing w:before="100" w:beforeAutospacing="1" w:after="100" w:afterAutospacing="1"/>
              <w:ind w:left="268" w:hanging="283"/>
              <w:rPr>
                <w:rFonts w:eastAsia="Times New Roman" w:cs="Times New Roman"/>
                <w:sz w:val="20"/>
                <w:szCs w:val="20"/>
              </w:rPr>
            </w:pPr>
            <w:r w:rsidRPr="0018337F">
              <w:rPr>
                <w:rFonts w:eastAsia="Times New Roman" w:cs="Calibri"/>
                <w:sz w:val="20"/>
                <w:szCs w:val="20"/>
              </w:rPr>
              <w:t xml:space="preserve">iznošenje gradiva je površno i nesigurno </w:t>
            </w:r>
          </w:p>
        </w:tc>
        <w:tc>
          <w:tcPr>
            <w:tcW w:w="1559" w:type="dxa"/>
          </w:tcPr>
          <w:p w14:paraId="113B8B7D" w14:textId="77777777" w:rsidR="00880803" w:rsidRPr="0018337F" w:rsidRDefault="00880803" w:rsidP="00880803">
            <w:pPr>
              <w:pStyle w:val="StandardWeb"/>
              <w:numPr>
                <w:ilvl w:val="0"/>
                <w:numId w:val="4"/>
              </w:numPr>
              <w:tabs>
                <w:tab w:val="clear" w:pos="720"/>
                <w:tab w:val="num" w:pos="240"/>
              </w:tabs>
              <w:ind w:left="240" w:hanging="28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usvojene su temeljne činjenice i neki od predviđenih koncepata </w:t>
            </w:r>
          </w:p>
          <w:p w14:paraId="34630078" w14:textId="77777777" w:rsidR="00880803" w:rsidRPr="0018337F" w:rsidRDefault="00880803" w:rsidP="00880803">
            <w:pPr>
              <w:pStyle w:val="StandardWeb"/>
              <w:numPr>
                <w:ilvl w:val="0"/>
                <w:numId w:val="4"/>
              </w:numPr>
              <w:tabs>
                <w:tab w:val="clear" w:pos="720"/>
                <w:tab w:val="num" w:pos="240"/>
              </w:tabs>
              <w:ind w:left="240" w:hanging="28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učenik reproducira i prepoznaje osnovne pojmove </w:t>
            </w:r>
          </w:p>
          <w:p w14:paraId="5515CF10" w14:textId="77777777" w:rsidR="00880803" w:rsidRPr="0018337F" w:rsidRDefault="00880803" w:rsidP="00880803">
            <w:pPr>
              <w:pStyle w:val="StandardWeb"/>
              <w:numPr>
                <w:ilvl w:val="0"/>
                <w:numId w:val="4"/>
              </w:numPr>
              <w:tabs>
                <w:tab w:val="clear" w:pos="720"/>
                <w:tab w:val="num" w:pos="240"/>
              </w:tabs>
              <w:ind w:left="240" w:hanging="28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razumije sadržaj, ali je površan u njegovoj primjeni </w:t>
            </w:r>
          </w:p>
          <w:p w14:paraId="40B57FFD" w14:textId="20F64E28" w:rsidR="00880803" w:rsidRPr="0018337F" w:rsidRDefault="00880803" w:rsidP="00880803">
            <w:pPr>
              <w:pStyle w:val="StandardWeb"/>
              <w:numPr>
                <w:ilvl w:val="0"/>
                <w:numId w:val="4"/>
              </w:numPr>
              <w:tabs>
                <w:tab w:val="clear" w:pos="720"/>
                <w:tab w:val="num" w:pos="240"/>
              </w:tabs>
              <w:ind w:left="240" w:hanging="28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>sadržaj može obrazložiti koristeći zadane primjere, ali uz pomoć́ nastavni</w:t>
            </w:r>
            <w:r>
              <w:rPr>
                <w:rFonts w:asciiTheme="minorHAnsi" w:hAnsiTheme="minorHAnsi" w:cs="Calibri"/>
                <w:sz w:val="20"/>
                <w:szCs w:val="20"/>
              </w:rPr>
              <w:t>k</w:t>
            </w:r>
            <w:r w:rsidR="009049B3">
              <w:rPr>
                <w:rFonts w:asciiTheme="minorHAnsi" w:hAnsiTheme="minorHAnsi" w:cs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0DFBEB53" w14:textId="77777777" w:rsidR="00880803" w:rsidRPr="0018337F" w:rsidRDefault="00880803" w:rsidP="00880803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196"/>
              </w:tabs>
              <w:ind w:left="196" w:hanging="283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usvojene su sve bitne činjenice i većina temeljnih koncepata </w:t>
            </w:r>
          </w:p>
          <w:p w14:paraId="147F7D89" w14:textId="77777777" w:rsidR="00880803" w:rsidRPr="0018337F" w:rsidRDefault="00880803" w:rsidP="00880803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196"/>
              </w:tabs>
              <w:ind w:left="196" w:hanging="283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reproducira i razumije obrađeni nastavni sadržaj </w:t>
            </w:r>
          </w:p>
          <w:p w14:paraId="79FFB4F3" w14:textId="77777777" w:rsidR="00880803" w:rsidRPr="0018337F" w:rsidRDefault="00880803" w:rsidP="00880803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196"/>
              </w:tabs>
              <w:ind w:left="196" w:hanging="283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poznaje osnovne pojmove, nadograđuje stečena znanja </w:t>
            </w:r>
          </w:p>
          <w:p w14:paraId="61CDD9B8" w14:textId="77777777" w:rsidR="00880803" w:rsidRPr="0018337F" w:rsidRDefault="00880803" w:rsidP="00880803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196"/>
              </w:tabs>
              <w:ind w:left="196" w:hanging="283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sadržaj obrazlaže uglavnom samostalno, koristi zadane primjere i samostalno rješava probleme i zadatke </w:t>
            </w:r>
          </w:p>
          <w:p w14:paraId="31264308" w14:textId="77777777" w:rsidR="00880803" w:rsidRPr="0018337F" w:rsidRDefault="00880803" w:rsidP="00880803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196"/>
              </w:tabs>
              <w:ind w:left="196" w:hanging="283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>samostalno se koristi gotovo svim potrebnim znanjima i vještinama</w:t>
            </w:r>
          </w:p>
        </w:tc>
        <w:tc>
          <w:tcPr>
            <w:tcW w:w="2268" w:type="dxa"/>
          </w:tcPr>
          <w:p w14:paraId="23E665EC" w14:textId="77777777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ind w:left="294" w:hanging="29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usvojene su sve predviđene činjenice i svi predviđeni koncepti </w:t>
            </w:r>
          </w:p>
          <w:p w14:paraId="58E0C44F" w14:textId="77777777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ind w:left="294" w:hanging="29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reproducira, razumije, nadograđuje stečena znanja </w:t>
            </w:r>
          </w:p>
          <w:p w14:paraId="41D7DFAB" w14:textId="77777777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ind w:left="294" w:hanging="29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samostalno obrazlaže sadržaj navodeći i vlastite primjere, rješava i složene probleme i zadatke </w:t>
            </w:r>
          </w:p>
          <w:p w14:paraId="11AC7C37" w14:textId="77777777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ind w:left="294" w:hanging="29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može prenositi svoja znanja drugima te je siguran i jasan u izlaganju nastavnog sadržaja </w:t>
            </w:r>
          </w:p>
          <w:p w14:paraId="2125FC56" w14:textId="77777777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ind w:left="294" w:hanging="294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samostalno se koristi se svim potrebnim znanjima i vještinama </w:t>
            </w:r>
          </w:p>
          <w:p w14:paraId="494E251E" w14:textId="7F42B6BD" w:rsidR="00880803" w:rsidRPr="0018337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5" w:hanging="295"/>
              <w:rPr>
                <w:rFonts w:asciiTheme="minorHAnsi" w:hAnsiTheme="minorHAnsi"/>
                <w:sz w:val="20"/>
                <w:szCs w:val="20"/>
              </w:rPr>
            </w:pP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reagira brzo </w:t>
            </w:r>
            <w:r w:rsidR="001D41DF">
              <w:rPr>
                <w:rFonts w:asciiTheme="minorHAnsi" w:hAnsiTheme="minorHAnsi" w:cs="Calibri"/>
                <w:sz w:val="20"/>
                <w:szCs w:val="20"/>
              </w:rPr>
              <w:t>i</w:t>
            </w:r>
            <w:r w:rsidRPr="0018337F">
              <w:rPr>
                <w:rFonts w:asciiTheme="minorHAnsi" w:hAnsiTheme="minorHAnsi" w:cs="Calibri"/>
                <w:sz w:val="20"/>
                <w:szCs w:val="20"/>
              </w:rPr>
              <w:t xml:space="preserve"> s lakoćom</w:t>
            </w:r>
          </w:p>
        </w:tc>
      </w:tr>
    </w:tbl>
    <w:p w14:paraId="4D012920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76D20D4C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4F6838DA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687D84AC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68E437A7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4FAF465D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tbl>
      <w:tblPr>
        <w:tblStyle w:val="Reetkatablice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0"/>
        <w:gridCol w:w="2126"/>
        <w:gridCol w:w="2268"/>
        <w:gridCol w:w="2268"/>
        <w:gridCol w:w="2410"/>
        <w:gridCol w:w="1910"/>
      </w:tblGrid>
      <w:tr w:rsidR="00880803" w:rsidRPr="00EE276F" w14:paraId="340BF2EF" w14:textId="77777777" w:rsidTr="00880803">
        <w:tc>
          <w:tcPr>
            <w:tcW w:w="500" w:type="dxa"/>
            <w:vMerge w:val="restart"/>
            <w:shd w:val="clear" w:color="auto" w:fill="B4C6E7" w:themeFill="accent1" w:themeFillTint="66"/>
          </w:tcPr>
          <w:p w14:paraId="7E717FD5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211BA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AEF671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14023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767EEA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FCF1E" w14:textId="77777777" w:rsidR="00880803" w:rsidRDefault="00880803" w:rsidP="0049588A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99241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409CB815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574EC9C1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</w:t>
            </w:r>
          </w:p>
          <w:p w14:paraId="049EDFF0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5E01A01A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7F67DBD6" w14:textId="77777777" w:rsidR="00880803" w:rsidRDefault="00880803" w:rsidP="00880803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4E698B24" w14:textId="77777777" w:rsidR="00880803" w:rsidRPr="00EE276F" w:rsidRDefault="00880803" w:rsidP="0049588A">
            <w:pPr>
              <w:pStyle w:val="StandardWeb"/>
              <w:ind w:left="170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420BBB38" w14:textId="77777777" w:rsidR="00880803" w:rsidRPr="00EE276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E276F">
              <w:rPr>
                <w:rFonts w:eastAsia="Times New Roman" w:cstheme="minorHAnsi"/>
                <w:b/>
                <w:bCs/>
                <w:sz w:val="20"/>
                <w:szCs w:val="20"/>
              </w:rPr>
              <w:t>nedovoljan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71A36B3" w14:textId="77777777" w:rsidR="00880803" w:rsidRPr="00EE276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E276F">
              <w:rPr>
                <w:rFonts w:eastAsia="Times New Roman" w:cstheme="minorHAnsi"/>
                <w:b/>
                <w:bCs/>
                <w:sz w:val="20"/>
                <w:szCs w:val="20"/>
              </w:rPr>
              <w:t>dovoljan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23B14553" w14:textId="77777777" w:rsidR="00880803" w:rsidRPr="00EE276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E276F">
              <w:rPr>
                <w:rFonts w:eastAsia="Times New Roman" w:cstheme="minorHAnsi"/>
                <w:b/>
                <w:bCs/>
                <w:sz w:val="20"/>
                <w:szCs w:val="20"/>
              </w:rPr>
              <w:t>dobar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2BD41E3" w14:textId="77777777" w:rsidR="00880803" w:rsidRPr="00EE276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E276F">
              <w:rPr>
                <w:rFonts w:eastAsia="Times New Roman" w:cstheme="minorHAnsi"/>
                <w:b/>
                <w:bCs/>
                <w:sz w:val="20"/>
                <w:szCs w:val="20"/>
              </w:rPr>
              <w:t>vrlo dobar</w:t>
            </w:r>
          </w:p>
        </w:tc>
        <w:tc>
          <w:tcPr>
            <w:tcW w:w="1910" w:type="dxa"/>
            <w:shd w:val="clear" w:color="auto" w:fill="B4C6E7" w:themeFill="accent1" w:themeFillTint="66"/>
          </w:tcPr>
          <w:p w14:paraId="11959F46" w14:textId="77777777" w:rsidR="00880803" w:rsidRPr="00EE276F" w:rsidRDefault="00880803" w:rsidP="004958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E276F">
              <w:rPr>
                <w:rFonts w:eastAsia="Times New Roman" w:cstheme="minorHAnsi"/>
                <w:b/>
                <w:bCs/>
                <w:sz w:val="20"/>
                <w:szCs w:val="20"/>
              </w:rPr>
              <w:t>odličan</w:t>
            </w:r>
          </w:p>
        </w:tc>
      </w:tr>
      <w:tr w:rsidR="00880803" w:rsidRPr="00EE276F" w14:paraId="65B41093" w14:textId="77777777" w:rsidTr="00880803">
        <w:trPr>
          <w:trHeight w:val="553"/>
        </w:trPr>
        <w:tc>
          <w:tcPr>
            <w:tcW w:w="500" w:type="dxa"/>
            <w:vMerge/>
          </w:tcPr>
          <w:p w14:paraId="49737EA2" w14:textId="77777777" w:rsidR="00880803" w:rsidRPr="00EE276F" w:rsidRDefault="00880803" w:rsidP="0049588A">
            <w:pPr>
              <w:pStyle w:val="StandardWeb"/>
              <w:ind w:lef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CDF573" w14:textId="77777777" w:rsidR="00880803" w:rsidRPr="00EE276F" w:rsidRDefault="00880803" w:rsidP="00880803">
            <w:pPr>
              <w:pStyle w:val="StandardWeb"/>
              <w:numPr>
                <w:ilvl w:val="0"/>
                <w:numId w:val="7"/>
              </w:numPr>
              <w:tabs>
                <w:tab w:val="clear" w:pos="720"/>
                <w:tab w:val="num" w:pos="170"/>
              </w:tabs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E276F">
              <w:rPr>
                <w:rFonts w:asciiTheme="minorHAnsi" w:hAnsiTheme="minorHAnsi" w:cstheme="minorHAnsi"/>
                <w:sz w:val="20"/>
                <w:szCs w:val="20"/>
              </w:rPr>
              <w:t>ne prepoznaje osnovne pojmove ključne za daljnje razumijevanje nastavnog gradiva iz kemije</w:t>
            </w:r>
          </w:p>
          <w:p w14:paraId="6E4E2C7E" w14:textId="77777777" w:rsidR="00880803" w:rsidRPr="00EE276F" w:rsidRDefault="00880803" w:rsidP="00880803">
            <w:pPr>
              <w:pStyle w:val="StandardWeb"/>
              <w:numPr>
                <w:ilvl w:val="0"/>
                <w:numId w:val="7"/>
              </w:numPr>
              <w:tabs>
                <w:tab w:val="clear" w:pos="720"/>
                <w:tab w:val="num" w:pos="170"/>
              </w:tabs>
              <w:ind w:left="170" w:hanging="170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ne može riješiti postavljene probleme ili zadatke niti uz pomoć́ nastavnika </w:t>
            </w:r>
          </w:p>
          <w:p w14:paraId="480DD762" w14:textId="77777777" w:rsidR="00880803" w:rsidRPr="00EE276F" w:rsidRDefault="00880803" w:rsidP="00880803">
            <w:pPr>
              <w:pStyle w:val="StandardWeb"/>
              <w:numPr>
                <w:ilvl w:val="0"/>
                <w:numId w:val="7"/>
              </w:numPr>
              <w:tabs>
                <w:tab w:val="clear" w:pos="720"/>
                <w:tab w:val="num" w:pos="170"/>
              </w:tabs>
              <w:ind w:left="170" w:hanging="170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ne razumije problem i ne zna kako ga riješiti </w:t>
            </w:r>
          </w:p>
          <w:p w14:paraId="560C9CF2" w14:textId="77777777" w:rsidR="00880803" w:rsidRPr="00EE276F" w:rsidRDefault="00880803" w:rsidP="00880803">
            <w:pPr>
              <w:pStyle w:val="StandardWeb"/>
              <w:numPr>
                <w:ilvl w:val="0"/>
                <w:numId w:val="7"/>
              </w:numPr>
              <w:tabs>
                <w:tab w:val="clear" w:pos="720"/>
                <w:tab w:val="num" w:pos="170"/>
              </w:tabs>
              <w:ind w:left="170" w:hanging="170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ne može primijeniti usvojeno u praktičnome radu </w:t>
            </w:r>
          </w:p>
          <w:p w14:paraId="3CEDE1A8" w14:textId="77777777" w:rsidR="00880803" w:rsidRPr="00EE276F" w:rsidRDefault="00880803" w:rsidP="00880803">
            <w:pPr>
              <w:pStyle w:val="StandardWeb"/>
              <w:numPr>
                <w:ilvl w:val="0"/>
                <w:numId w:val="7"/>
              </w:numPr>
              <w:tabs>
                <w:tab w:val="clear" w:pos="720"/>
                <w:tab w:val="num" w:pos="170"/>
              </w:tabs>
              <w:ind w:left="170" w:hanging="170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ne uočava problem i ne bilježi opažanja </w:t>
            </w:r>
          </w:p>
          <w:p w14:paraId="0CF6B989" w14:textId="77777777" w:rsidR="00880803" w:rsidRPr="00EE276F" w:rsidRDefault="00880803" w:rsidP="004958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86587" w14:textId="77777777" w:rsidR="00880803" w:rsidRPr="00EE276F" w:rsidRDefault="00880803" w:rsidP="00880803">
            <w:pPr>
              <w:pStyle w:val="StandardWeb"/>
              <w:numPr>
                <w:ilvl w:val="0"/>
                <w:numId w:val="8"/>
              </w:numPr>
              <w:tabs>
                <w:tab w:val="clear" w:pos="720"/>
              </w:tabs>
              <w:ind w:left="172" w:hanging="26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sposoban je rješavati jednostavne probleme uz pomoć nastavnika </w:t>
            </w:r>
          </w:p>
          <w:p w14:paraId="3E9BE50D" w14:textId="77777777" w:rsidR="00880803" w:rsidRPr="00EE276F" w:rsidRDefault="00880803" w:rsidP="00880803">
            <w:pPr>
              <w:pStyle w:val="StandardWeb"/>
              <w:numPr>
                <w:ilvl w:val="0"/>
                <w:numId w:val="8"/>
              </w:numPr>
              <w:tabs>
                <w:tab w:val="clear" w:pos="720"/>
                <w:tab w:val="num" w:pos="268"/>
              </w:tabs>
              <w:ind w:left="172" w:hanging="26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često griješi prilikom samostalnog rješavanja jednostavnih zadataka </w:t>
            </w:r>
          </w:p>
          <w:p w14:paraId="7DAF0B0C" w14:textId="77777777" w:rsidR="00880803" w:rsidRPr="00EE276F" w:rsidRDefault="00880803" w:rsidP="00880803">
            <w:pPr>
              <w:pStyle w:val="StandardWeb"/>
              <w:numPr>
                <w:ilvl w:val="0"/>
                <w:numId w:val="8"/>
              </w:numPr>
              <w:tabs>
                <w:tab w:val="clear" w:pos="720"/>
                <w:tab w:val="num" w:pos="268"/>
              </w:tabs>
              <w:ind w:left="172" w:hanging="26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iz grafičkoga prikaza i tablica očitava podatke, ali ne uočava zakonitosti </w:t>
            </w:r>
          </w:p>
          <w:p w14:paraId="3F47B7B5" w14:textId="77777777" w:rsidR="00880803" w:rsidRPr="00EE276F" w:rsidRDefault="00880803" w:rsidP="00880803">
            <w:pPr>
              <w:pStyle w:val="StandardWeb"/>
              <w:numPr>
                <w:ilvl w:val="0"/>
                <w:numId w:val="8"/>
              </w:numPr>
              <w:tabs>
                <w:tab w:val="clear" w:pos="720"/>
                <w:tab w:val="num" w:pos="268"/>
              </w:tabs>
              <w:ind w:left="172" w:hanging="26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uz pomoć́ nastavnika primjenjuje naučeno i obavlja jednostavne praktične zadatke </w:t>
            </w:r>
          </w:p>
          <w:p w14:paraId="3D5F6742" w14:textId="77777777" w:rsidR="00880803" w:rsidRPr="00EE276F" w:rsidRDefault="00880803" w:rsidP="00880803">
            <w:pPr>
              <w:pStyle w:val="StandardWeb"/>
              <w:numPr>
                <w:ilvl w:val="0"/>
                <w:numId w:val="8"/>
              </w:numPr>
              <w:tabs>
                <w:tab w:val="clear" w:pos="720"/>
                <w:tab w:val="num" w:pos="268"/>
              </w:tabs>
              <w:ind w:left="172" w:hanging="26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uočava problem, djelomično opisuje aparaturu potrebnu za </w:t>
            </w: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izvedbu odabranoga istraživanja te bilježi opažanja </w:t>
            </w:r>
          </w:p>
        </w:tc>
        <w:tc>
          <w:tcPr>
            <w:tcW w:w="2268" w:type="dxa"/>
          </w:tcPr>
          <w:p w14:paraId="100913EA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samostalno rješava jednostavne probleme, ali složene probleme ne rješava ni uz pomoć́ nastavnika </w:t>
            </w:r>
          </w:p>
          <w:p w14:paraId="474DAFAE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poznaje osnovne formule i kemijsku simboliku, samostalno rješava jednostavne zadatke </w:t>
            </w:r>
          </w:p>
          <w:p w14:paraId="0A597E7B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griješi prilikom samostalnog rješavanja složenijih zadataka </w:t>
            </w:r>
          </w:p>
          <w:p w14:paraId="2655E71D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koristeći fizikalne veličine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zapisuje </w:t>
            </w:r>
            <w:r w:rsidRPr="00EE276F">
              <w:rPr>
                <w:rFonts w:ascii="Calibri" w:hAnsi="Calibri" w:cs="Calibri"/>
                <w:sz w:val="20"/>
                <w:szCs w:val="20"/>
              </w:rPr>
              <w:t xml:space="preserve">odgovarajuće matematičke izraze i </w:t>
            </w: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pravilno prikazuje mjerne jedinice </w:t>
            </w:r>
          </w:p>
          <w:p w14:paraId="48900060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samostalno primjenjuje naučeno pri obavljanju jednostavnih praktičnih zadataka </w:t>
            </w:r>
          </w:p>
          <w:p w14:paraId="576B4F98" w14:textId="700FB5F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227"/>
              <w:rPr>
                <w:b/>
                <w:bCs/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uz pomoć́ </w:t>
            </w:r>
            <w:r w:rsidR="002627F0">
              <w:rPr>
                <w:rFonts w:ascii="Calibri" w:hAnsi="Calibri" w:cs="Calibri"/>
                <w:sz w:val="20"/>
                <w:szCs w:val="20"/>
              </w:rPr>
              <w:t>profesorice</w:t>
            </w:r>
            <w:r w:rsidRPr="00EE276F">
              <w:rPr>
                <w:rFonts w:ascii="Calibri" w:hAnsi="Calibri" w:cs="Calibri"/>
                <w:sz w:val="20"/>
                <w:szCs w:val="20"/>
              </w:rPr>
              <w:t xml:space="preserve"> oblikuje istraživačko pitanje i izvodi mjerenja i/ili postupke koji su dio istraživanja  </w:t>
            </w:r>
          </w:p>
        </w:tc>
        <w:tc>
          <w:tcPr>
            <w:tcW w:w="2410" w:type="dxa"/>
          </w:tcPr>
          <w:p w14:paraId="4AD96990" w14:textId="12E311E5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78"/>
              </w:tabs>
              <w:ind w:left="178" w:hanging="17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samostalno rješava jednostavne probleme, a složene probleme rješava uz pomoć́ </w:t>
            </w:r>
            <w:r w:rsidR="00F424A9">
              <w:rPr>
                <w:rFonts w:ascii="Calibri" w:hAnsi="Calibri" w:cs="Calibri"/>
                <w:sz w:val="20"/>
                <w:szCs w:val="20"/>
              </w:rPr>
              <w:t>profesorice</w:t>
            </w:r>
            <w:r w:rsidRPr="00EE276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B39002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78"/>
              </w:tabs>
              <w:ind w:left="178" w:hanging="17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rješava zadatke točno prikazujući mjerne jedinice </w:t>
            </w:r>
          </w:p>
          <w:p w14:paraId="30A85646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78"/>
              </w:tabs>
              <w:ind w:left="178" w:hanging="17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uspoređuje crteže, tablične i grafičke prikaze te izvodi zaključke na temelju prikazanih rezultata </w:t>
            </w:r>
          </w:p>
          <w:p w14:paraId="45028216" w14:textId="2A17EC9D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78"/>
              </w:tabs>
              <w:ind w:left="178" w:hanging="17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samostalno obavlja jednostavne praktične zadatke, a uz pomoć́ </w:t>
            </w:r>
            <w:r w:rsidR="00E4000A">
              <w:rPr>
                <w:rFonts w:ascii="Calibri" w:hAnsi="Calibri" w:cs="Calibri"/>
                <w:sz w:val="20"/>
                <w:szCs w:val="20"/>
              </w:rPr>
              <w:t>profesorice</w:t>
            </w:r>
            <w:r w:rsidRPr="00EE276F">
              <w:rPr>
                <w:rFonts w:ascii="Calibri" w:hAnsi="Calibri" w:cs="Calibri"/>
                <w:sz w:val="20"/>
                <w:szCs w:val="20"/>
              </w:rPr>
              <w:t xml:space="preserve"> i složene praktične zadatke </w:t>
            </w:r>
          </w:p>
          <w:p w14:paraId="0C456AD9" w14:textId="77777777" w:rsidR="00880803" w:rsidRPr="00EE276F" w:rsidRDefault="00880803" w:rsidP="00880803">
            <w:pPr>
              <w:pStyle w:val="StandardWeb"/>
              <w:numPr>
                <w:ilvl w:val="0"/>
                <w:numId w:val="9"/>
              </w:numPr>
              <w:tabs>
                <w:tab w:val="clear" w:pos="720"/>
                <w:tab w:val="num" w:pos="178"/>
              </w:tabs>
              <w:spacing w:after="0" w:afterAutospacing="0"/>
              <w:ind w:left="178" w:hanging="178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samostalno oblikuje istraživačko pitanje te izvodi mjerenja i postupke koji su dio istraživanja </w:t>
            </w:r>
          </w:p>
        </w:tc>
        <w:tc>
          <w:tcPr>
            <w:tcW w:w="1910" w:type="dxa"/>
          </w:tcPr>
          <w:p w14:paraId="5E20CD0A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samostalno rješava jednostavne i složene probleme </w:t>
            </w:r>
          </w:p>
          <w:p w14:paraId="2B66DA0B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koristi se svim potrebnim znanjima i vještinama </w:t>
            </w:r>
          </w:p>
          <w:p w14:paraId="23C79092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kombinira matematičke izraze pri rješavanju složenih zadataka </w:t>
            </w:r>
          </w:p>
          <w:p w14:paraId="3A01E9D6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uočava zakonitosti uopćavanjem podataka prikazanih tekstom, crtežom, </w:t>
            </w:r>
            <w:r w:rsidRPr="00EE27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modelima, tablicama i grafovima te ih opisuje riječima </w:t>
            </w:r>
          </w:p>
          <w:p w14:paraId="76748471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 xml:space="preserve">samostalno obavlja i jednostavne i složene praktične zadatke </w:t>
            </w:r>
          </w:p>
          <w:p w14:paraId="6F09CAC0" w14:textId="77777777" w:rsidR="00880803" w:rsidRPr="00EE276F" w:rsidRDefault="00880803" w:rsidP="00880803">
            <w:pPr>
              <w:pStyle w:val="StandardWeb"/>
              <w:numPr>
                <w:ilvl w:val="0"/>
                <w:numId w:val="6"/>
              </w:numPr>
              <w:tabs>
                <w:tab w:val="clear" w:pos="720"/>
              </w:tabs>
              <w:spacing w:after="0" w:afterAutospacing="0"/>
              <w:ind w:left="175" w:hanging="164"/>
              <w:rPr>
                <w:sz w:val="20"/>
                <w:szCs w:val="20"/>
              </w:rPr>
            </w:pPr>
            <w:r w:rsidRPr="00EE276F">
              <w:rPr>
                <w:rFonts w:ascii="Calibri" w:hAnsi="Calibri" w:cs="Calibri"/>
                <w:sz w:val="20"/>
                <w:szCs w:val="20"/>
              </w:rPr>
              <w:t>povezuje rezultate i zaključke istraživanja s konceptualnim spoznajama te prikupljene podatke prikazuje u obliku izvješća</w:t>
            </w:r>
          </w:p>
        </w:tc>
      </w:tr>
    </w:tbl>
    <w:p w14:paraId="212E411C" w14:textId="77777777" w:rsidR="00880803" w:rsidRDefault="00880803" w:rsidP="00880803">
      <w:pPr>
        <w:spacing w:after="0" w:line="240" w:lineRule="auto"/>
        <w:ind w:right="-1134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698C3D64" w14:textId="77777777" w:rsidR="00880803" w:rsidRPr="003C710A" w:rsidRDefault="00880803" w:rsidP="00880803">
      <w:pPr>
        <w:rPr>
          <w:b/>
          <w:bCs/>
        </w:rPr>
      </w:pPr>
      <w:r w:rsidRPr="003C710A">
        <w:rPr>
          <w:b/>
          <w:bCs/>
        </w:rPr>
        <w:t>Zaključivanje ocjena</w:t>
      </w:r>
    </w:p>
    <w:p w14:paraId="441C1EB6" w14:textId="6D8DF113" w:rsidR="00880803" w:rsidRPr="002A07F7" w:rsidRDefault="00880803" w:rsidP="00880803">
      <w:pPr>
        <w:rPr>
          <w:rFonts w:cstheme="minorHAnsi"/>
          <w:sz w:val="24"/>
          <w:szCs w:val="24"/>
        </w:rPr>
      </w:pPr>
      <w:r w:rsidRPr="002A07F7">
        <w:rPr>
          <w:sz w:val="24"/>
          <w:szCs w:val="24"/>
        </w:rPr>
        <w:t>Zaključna ocjena na kraju nastavne godine izvodi se na temelju svih ocjena i opisa rada učenika tijekom cijele školske godine</w:t>
      </w:r>
      <w:r w:rsidRPr="002A07F7">
        <w:rPr>
          <w:rFonts w:cstheme="minorHAnsi"/>
          <w:sz w:val="24"/>
          <w:szCs w:val="24"/>
        </w:rPr>
        <w:t xml:space="preserve">.  </w:t>
      </w:r>
      <w:r w:rsidR="00A45DB9" w:rsidRPr="002A07F7">
        <w:rPr>
          <w:rFonts w:cstheme="minorHAnsi"/>
          <w:sz w:val="24"/>
          <w:szCs w:val="24"/>
        </w:rPr>
        <w:t>Ona</w:t>
      </w:r>
      <w:r w:rsidR="00A45DB9" w:rsidRPr="002A07F7">
        <w:rPr>
          <w:rFonts w:cstheme="minorHAnsi"/>
          <w:b/>
          <w:bCs/>
          <w:sz w:val="24"/>
          <w:szCs w:val="24"/>
        </w:rPr>
        <w:t xml:space="preserve"> </w:t>
      </w:r>
      <w:r w:rsidR="00A45DB9" w:rsidRPr="002A07F7">
        <w:rPr>
          <w:rFonts w:cstheme="minorHAnsi"/>
          <w:sz w:val="24"/>
          <w:szCs w:val="24"/>
        </w:rPr>
        <w:t>je odraz cjelokupnih odgojno</w:t>
      </w:r>
      <w:r w:rsidR="00724753" w:rsidRPr="002A07F7">
        <w:rPr>
          <w:rFonts w:cstheme="minorHAnsi"/>
          <w:sz w:val="24"/>
          <w:szCs w:val="24"/>
        </w:rPr>
        <w:t xml:space="preserve"> </w:t>
      </w:r>
      <w:r w:rsidR="00A45DB9" w:rsidRPr="002A07F7">
        <w:rPr>
          <w:rFonts w:cstheme="minorHAnsi"/>
          <w:sz w:val="24"/>
          <w:szCs w:val="24"/>
        </w:rPr>
        <w:t xml:space="preserve">− obrazovnih postignuća tijekom godine. </w:t>
      </w:r>
    </w:p>
    <w:p w14:paraId="0AE112C0" w14:textId="6A072A82" w:rsidR="00880803" w:rsidRDefault="00880803" w:rsidP="00880803">
      <w:pPr>
        <w:rPr>
          <w:b/>
          <w:bCs/>
        </w:rPr>
      </w:pPr>
      <w:r w:rsidRPr="00FD586D">
        <w:rPr>
          <w:b/>
          <w:bCs/>
        </w:rPr>
        <w:t xml:space="preserve">Zagreb, </w:t>
      </w:r>
      <w:r w:rsidR="00700BCC">
        <w:rPr>
          <w:b/>
          <w:bCs/>
        </w:rPr>
        <w:t>1</w:t>
      </w:r>
      <w:r w:rsidRPr="00FD586D">
        <w:rPr>
          <w:b/>
          <w:bCs/>
        </w:rPr>
        <w:t>. rujna 202</w:t>
      </w:r>
      <w:r w:rsidR="00700BCC">
        <w:rPr>
          <w:b/>
          <w:bCs/>
        </w:rPr>
        <w:t>5</w:t>
      </w:r>
      <w:r w:rsidRPr="00FD586D">
        <w:rPr>
          <w:b/>
          <w:bCs/>
        </w:rPr>
        <w:t>.</w:t>
      </w:r>
    </w:p>
    <w:p w14:paraId="7798F68F" w14:textId="77777777" w:rsidR="00880803" w:rsidRDefault="00880803" w:rsidP="00880803"/>
    <w:p w14:paraId="4237CF99" w14:textId="77777777" w:rsidR="00880803" w:rsidRDefault="00880803" w:rsidP="00880803"/>
    <w:p w14:paraId="7223FFF7" w14:textId="77777777" w:rsidR="00880803" w:rsidRDefault="00880803" w:rsidP="00880803"/>
    <w:p w14:paraId="6A1F8955" w14:textId="3D5E5FEF" w:rsidR="009F7864" w:rsidRPr="00FD586D" w:rsidRDefault="00880803" w:rsidP="009F78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7CB56" w14:textId="75BCB025" w:rsidR="00880803" w:rsidRPr="00FD586D" w:rsidRDefault="00880803" w:rsidP="00880803"/>
    <w:p w14:paraId="2438F01E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29CD0D6F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394E4605" w14:textId="77777777" w:rsidR="00880803" w:rsidRDefault="00880803" w:rsidP="009D1368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</w:p>
    <w:p w14:paraId="6918AE14" w14:textId="16DBBBB1" w:rsidR="009D1368" w:rsidRPr="009D1368" w:rsidRDefault="009D1368" w:rsidP="009D13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</w:p>
    <w:p w14:paraId="0859E619" w14:textId="7B6DD2B5" w:rsidR="000E6060" w:rsidRDefault="000E6060"/>
    <w:sectPr w:rsidR="000E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6554"/>
    <w:multiLevelType w:val="multilevel"/>
    <w:tmpl w:val="222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C0FDF"/>
    <w:multiLevelType w:val="multilevel"/>
    <w:tmpl w:val="1C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375B"/>
    <w:multiLevelType w:val="multilevel"/>
    <w:tmpl w:val="989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C5ED7"/>
    <w:multiLevelType w:val="multilevel"/>
    <w:tmpl w:val="692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63AB2"/>
    <w:multiLevelType w:val="multilevel"/>
    <w:tmpl w:val="F26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B6793"/>
    <w:multiLevelType w:val="multilevel"/>
    <w:tmpl w:val="9D9C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C7DD2"/>
    <w:multiLevelType w:val="multilevel"/>
    <w:tmpl w:val="870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7368F"/>
    <w:multiLevelType w:val="multilevel"/>
    <w:tmpl w:val="ACF819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6208AE"/>
    <w:multiLevelType w:val="multilevel"/>
    <w:tmpl w:val="3672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23DDE"/>
    <w:multiLevelType w:val="multilevel"/>
    <w:tmpl w:val="62D0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68"/>
    <w:rsid w:val="000070EB"/>
    <w:rsid w:val="00074073"/>
    <w:rsid w:val="000E6060"/>
    <w:rsid w:val="001966E8"/>
    <w:rsid w:val="001D41DF"/>
    <w:rsid w:val="001E0007"/>
    <w:rsid w:val="00212483"/>
    <w:rsid w:val="002627F0"/>
    <w:rsid w:val="002A07F7"/>
    <w:rsid w:val="002F327B"/>
    <w:rsid w:val="00310782"/>
    <w:rsid w:val="00376229"/>
    <w:rsid w:val="0038194D"/>
    <w:rsid w:val="003A0847"/>
    <w:rsid w:val="004D5AC9"/>
    <w:rsid w:val="004E22D1"/>
    <w:rsid w:val="006172B8"/>
    <w:rsid w:val="006D7841"/>
    <w:rsid w:val="00700BCC"/>
    <w:rsid w:val="00710614"/>
    <w:rsid w:val="00724753"/>
    <w:rsid w:val="00842698"/>
    <w:rsid w:val="00880803"/>
    <w:rsid w:val="00894E77"/>
    <w:rsid w:val="009049B3"/>
    <w:rsid w:val="009730E1"/>
    <w:rsid w:val="00997B49"/>
    <w:rsid w:val="009C31D4"/>
    <w:rsid w:val="009D1368"/>
    <w:rsid w:val="009E7848"/>
    <w:rsid w:val="009F7864"/>
    <w:rsid w:val="00A45DB9"/>
    <w:rsid w:val="00B117A4"/>
    <w:rsid w:val="00B84161"/>
    <w:rsid w:val="00B942AF"/>
    <w:rsid w:val="00BD182C"/>
    <w:rsid w:val="00C06690"/>
    <w:rsid w:val="00CB20FB"/>
    <w:rsid w:val="00CD408E"/>
    <w:rsid w:val="00D15CC8"/>
    <w:rsid w:val="00D47969"/>
    <w:rsid w:val="00E4000A"/>
    <w:rsid w:val="00E70543"/>
    <w:rsid w:val="00F424A9"/>
    <w:rsid w:val="00F6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20DA00"/>
  <w15:chartTrackingRefBased/>
  <w15:docId w15:val="{A735D2B5-1C73-4B6F-89F3-4CF20B6F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08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8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8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2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65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50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6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1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Jadranka</cp:lastModifiedBy>
  <cp:revision>2</cp:revision>
  <dcterms:created xsi:type="dcterms:W3CDTF">2025-09-04T10:45:00Z</dcterms:created>
  <dcterms:modified xsi:type="dcterms:W3CDTF">2025-09-04T10:45:00Z</dcterms:modified>
</cp:coreProperties>
</file>